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21F5B503" w:rsidR="006D7977" w:rsidRPr="005C5309" w:rsidRDefault="00711CAC" w:rsidP="005C5309">
      <w:pPr>
        <w:pStyle w:val="Heading1"/>
      </w:pPr>
      <w:r>
        <w:t>South Queen Street Medical Centre</w:t>
      </w:r>
      <w:r w:rsidR="00645217" w:rsidRPr="005C5309">
        <w:t xml:space="preserve"> privacy notice</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4515BA3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711CAC">
        <w:rPr>
          <w:rFonts w:ascii="Arial" w:eastAsia="Arial" w:hAnsi="Arial" w:cs="Arial"/>
          <w:color w:val="000000" w:themeColor="text1"/>
        </w:rPr>
        <w:t>South Queen Street Medical Centre</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2296204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711CAC">
        <w:rPr>
          <w:rFonts w:ascii="Arial" w:eastAsia="Arial" w:hAnsi="Arial" w:cs="Arial"/>
          <w:color w:val="000000" w:themeColor="text1"/>
        </w:rPr>
        <w:t>South Queen Street, Morley, Leeds, LS27 9EW</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34F3171B"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711CAC">
        <w:rPr>
          <w:rFonts w:ascii="Arial" w:eastAsia="Arial" w:hAnsi="Arial" w:cs="Arial"/>
          <w:color w:val="000000" w:themeColor="text1"/>
        </w:rPr>
        <w:t>0113 2534863</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3565BD30"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711CAC">
        <w:rPr>
          <w:rFonts w:ascii="Arial" w:eastAsia="Arial" w:hAnsi="Arial" w:cs="Arial"/>
          <w:color w:val="000000" w:themeColor="text1"/>
        </w:rPr>
        <w:t>queenstreet.surgery@nhs.net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42332C4C"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711CAC">
        <w:rPr>
          <w:rFonts w:ascii="Arial" w:hAnsi="Arial" w:cs="Arial"/>
          <w:color w:val="000000"/>
          <w:sz w:val="27"/>
          <w:szCs w:val="27"/>
          <w:shd w:val="clear" w:color="auto" w:fill="FFFFFF"/>
        </w:rPr>
        <w:t>Z8811068</w:t>
      </w:r>
      <w:r w:rsidR="00711CAC">
        <w:rPr>
          <w:rFonts w:ascii="Arial" w:hAnsi="Arial" w:cs="Arial"/>
          <w:color w:val="000000"/>
          <w:sz w:val="27"/>
          <w:szCs w:val="27"/>
          <w:shd w:val="clear" w:color="auto" w:fill="FFFFFF"/>
        </w:rPr>
        <w:t xml:space="preserve"> </w:t>
      </w:r>
      <w:r w:rsidRPr="00BC32E3">
        <w:rPr>
          <w:rFonts w:ascii="Arial" w:eastAsia="Arial" w:hAnsi="Arial" w:cs="Arial"/>
          <w:color w:val="000000"/>
        </w:rPr>
        <w:t xml:space="preserve">and you can view our registration </w:t>
      </w:r>
      <w:hyperlink r:id="rId12" w:history="1">
        <w:r w:rsidRPr="00711CAC">
          <w:rPr>
            <w:rStyle w:val="Hyperlink"/>
            <w:rFonts w:ascii="Arial" w:eastAsia="Arial" w:hAnsi="Arial" w:cs="Arial"/>
          </w:rPr>
          <w:t>he</w:t>
        </w:r>
        <w:r w:rsidRPr="00711CAC">
          <w:rPr>
            <w:rStyle w:val="Hyperlink"/>
            <w:rFonts w:ascii="Arial" w:eastAsia="Arial" w:hAnsi="Arial" w:cs="Arial"/>
          </w:rPr>
          <w:t>r</w:t>
        </w:r>
        <w:r w:rsidRPr="00711CAC">
          <w:rPr>
            <w:rStyle w:val="Hyperlink"/>
            <w:rFonts w:ascii="Arial" w:eastAsia="Arial" w:hAnsi="Arial" w:cs="Arial"/>
          </w:rPr>
          <w:t>e</w:t>
        </w:r>
      </w:hyperlink>
      <w:r w:rsidR="00711CAC" w:rsidRPr="00D15FB7">
        <w:rPr>
          <w:rFonts w:ascii="Arial" w:eastAsia="Arial" w:hAnsi="Arial" w:cs="Arial"/>
          <w:color w:val="000000"/>
        </w:rPr>
        <w:t xml:space="preserve"> </w:t>
      </w:r>
      <w:r w:rsidR="00711CAC">
        <w:rPr>
          <w:rFonts w:ascii="Arial" w:eastAsia="Arial" w:hAnsi="Arial" w:cs="Arial"/>
          <w:color w:val="000000"/>
        </w:rPr>
        <w:t>.</w:t>
      </w:r>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136C70E1" w:rsidR="006D7977" w:rsidRPr="00D15FB7" w:rsidRDefault="00645217" w:rsidP="005C5309">
      <w:pPr>
        <w:pStyle w:val="Heading1"/>
        <w:rPr>
          <w:color w:val="000000"/>
        </w:rPr>
      </w:pPr>
      <w:r w:rsidRPr="00711CAC">
        <w:t>Data Protection Officer contact details</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0284A0C6"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711CAC">
        <w:rPr>
          <w:rFonts w:ascii="Arial" w:eastAsia="Arial" w:hAnsi="Arial" w:cs="Arial"/>
          <w:color w:val="000000" w:themeColor="text1"/>
        </w:rPr>
        <w:t>Aaron Linden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3" w:history="1">
        <w:r w:rsidR="001E3BBE" w:rsidRPr="00711CAC">
          <w:rPr>
            <w:rStyle w:val="Hyperlink"/>
            <w:rFonts w:ascii="Arial" w:hAnsi="Arial" w:cs="Arial"/>
            <w:lang w:val="en"/>
          </w:rPr>
          <w:t>wyicb-leeds.dpo@nhs.net</w:t>
        </w:r>
      </w:hyperlink>
      <w:r w:rsidRPr="001E3BBE">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711CAC"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370930A6"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711CAC">
        <w:rPr>
          <w:rFonts w:ascii="Arial" w:eastAsiaTheme="majorEastAsia" w:hAnsi="Arial" w:cs="Arial"/>
        </w:rPr>
        <w:t>Morley and District</w:t>
      </w:r>
      <w:r w:rsidRPr="00376841">
        <w:rPr>
          <w:rFonts w:ascii="Arial" w:eastAsiaTheme="majorEastAsia" w:hAnsi="Arial" w:cs="Arial"/>
        </w:rPr>
        <w:t xml:space="preserve"> PCN along with </w:t>
      </w:r>
      <w:r w:rsidR="00711CAC">
        <w:rPr>
          <w:rFonts w:ascii="Arial" w:eastAsiaTheme="majorEastAsia" w:hAnsi="Arial" w:cs="Arial"/>
        </w:rPr>
        <w:t xml:space="preserve">Windsor House Group Practice, Fountain Medical Centre, Leigh View Medical Centre, Gildersome Health Centre and Drighlington Health Centre. </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711CAC"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711CAC"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711CAC"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3"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711CAC"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711CAC"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711CAC"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lastRenderedPageBreak/>
        <w:t>The right of access</w:t>
      </w:r>
      <w:bookmarkEnd w:id="6"/>
    </w:p>
    <w:p w14:paraId="67AAD3A5" w14:textId="6F8FF33E" w:rsidR="004A1DD6" w:rsidRDefault="00711CAC"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133A8F96"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hyperlink r:id="rId44" w:history="1">
        <w:r w:rsidR="00711CAC" w:rsidRPr="0096135F">
          <w:rPr>
            <w:rStyle w:val="Hyperlink"/>
            <w:rFonts w:ascii="Arial" w:eastAsia="Times New Roman" w:hAnsi="Arial" w:cs="Arial"/>
            <w:lang w:eastAsia="en-GB"/>
          </w:rPr>
          <w:t>queenstreet.surgery@nhs.net</w:t>
        </w:r>
      </w:hyperlink>
      <w:r w:rsidR="00711CAC">
        <w:rPr>
          <w:rFonts w:ascii="Arial" w:eastAsia="Times New Roman" w:hAnsi="Arial" w:cs="Arial"/>
          <w:color w:val="333333"/>
          <w:lang w:eastAsia="en-GB"/>
        </w:rPr>
        <w:t xml:space="preserve"> .</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711CAC"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711CAC"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711CAC"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711CAC"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711CAC" w:rsidP="004A1DD6">
      <w:pPr>
        <w:pBdr>
          <w:top w:val="nil"/>
          <w:left w:val="nil"/>
          <w:bottom w:val="nil"/>
          <w:right w:val="nil"/>
          <w:between w:val="nil"/>
        </w:pBdr>
        <w:rPr>
          <w:rFonts w:ascii="Arial" w:eastAsia="Times New Roman" w:hAnsi="Arial" w:cs="Arial"/>
          <w:color w:val="333333"/>
          <w:lang w:eastAsia="en-GB"/>
        </w:rPr>
      </w:pPr>
      <w:hyperlink r:id="rId49"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711CAC" w:rsidP="00EC78CB">
      <w:pPr>
        <w:pBdr>
          <w:top w:val="nil"/>
          <w:left w:val="nil"/>
          <w:bottom w:val="nil"/>
          <w:right w:val="nil"/>
          <w:between w:val="nil"/>
        </w:pBdr>
        <w:rPr>
          <w:rFonts w:ascii="Arial" w:eastAsia="Times New Roman" w:hAnsi="Arial" w:cs="Arial"/>
          <w:color w:val="333333"/>
          <w:lang w:eastAsia="en-GB"/>
        </w:rPr>
      </w:pPr>
      <w:hyperlink r:id="rId50"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 xml:space="preserve">Whenever you use a health or care service, such as attending Accident &amp; Emergency or using Community Care services, important information about you is </w:t>
      </w:r>
      <w:r>
        <w:rPr>
          <w:rFonts w:ascii="Arial" w:hAnsi="Arial" w:cs="Arial"/>
          <w:lang w:val="en"/>
        </w:rPr>
        <w:lastRenderedPageBreak/>
        <w:t>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1">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lastRenderedPageBreak/>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2"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3FF880EC"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711CAC">
        <w:rPr>
          <w:rFonts w:ascii="Arial" w:eastAsia="Times New Roman" w:hAnsi="Arial" w:cs="Arial"/>
          <w:lang w:val="en" w:eastAsia="en-GB"/>
        </w:rPr>
        <w:t>South Queen Street Medical Centre’s</w:t>
      </w:r>
      <w:r w:rsidRPr="002968DA">
        <w:rPr>
          <w:rFonts w:ascii="Arial" w:eastAsia="Times New Roman" w:hAnsi="Arial" w:cs="Arial"/>
          <w:lang w:val="en" w:eastAsia="en-GB"/>
        </w:rPr>
        <w:t xml:space="preserve">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0055A7A1"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hyperlink r:id="rId53" w:history="1">
        <w:r w:rsidR="00711CAC" w:rsidRPr="0096135F">
          <w:rPr>
            <w:rStyle w:val="Hyperlink"/>
            <w:rFonts w:ascii="Arial" w:eastAsia="Arial" w:hAnsi="Arial" w:cs="Arial"/>
          </w:rPr>
          <w:t>queenstreet.surgery@nhs.net</w:t>
        </w:r>
      </w:hyperlink>
      <w:r w:rsidR="00711CAC">
        <w:rPr>
          <w:rFonts w:ascii="Arial" w:eastAsia="Arial" w:hAnsi="Arial" w:cs="Arial"/>
          <w:color w:val="000000" w:themeColor="text1"/>
        </w:rPr>
        <w:t xml:space="preserve"> . </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4">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6C213EF0"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w:t>
      </w:r>
      <w:r w:rsidR="00711CAC">
        <w:rPr>
          <w:rFonts w:ascii="Arial" w:eastAsia="Arial" w:hAnsi="Arial" w:cs="Arial"/>
          <w:color w:val="000000" w:themeColor="text1"/>
        </w:rPr>
        <w:t>May</w:t>
      </w:r>
      <w:r>
        <w:rPr>
          <w:rFonts w:ascii="Arial" w:eastAsia="Arial" w:hAnsi="Arial" w:cs="Arial"/>
          <w:color w:val="000000" w:themeColor="text1"/>
        </w:rPr>
        <w:t xml:space="preserve">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5"/>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CAC"/>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06B"/>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your-right-to-limit-how-organisations-use-your-data/" TargetMode="External"/><Relationship Id="rId50" Type="http://schemas.openxmlformats.org/officeDocument/2006/relationships/hyperlink" Target="https://ico.org.uk/your-data-matters/your-right-to-data-portability/"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corrected/" TargetMode="External"/><Relationship Id="rId53" Type="http://schemas.openxmlformats.org/officeDocument/2006/relationships/hyperlink" Target="mailto:queenstreet.surgery@nhs.net"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the-right-to-object-to-the-use-of-your-data/"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nhs.uk/your-nhs-data-matters" TargetMode="External"/><Relationship Id="rId3" Type="http://schemas.openxmlformats.org/officeDocument/2006/relationships/customXml" Target="../customXml/item3.xml"/><Relationship Id="rId12" Type="http://schemas.openxmlformats.org/officeDocument/2006/relationships/hyperlink" Target="https://ico.org.uk/ESDWebPages/Entry/Z8811068"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get-your-data-deleted/" TargetMode="External"/><Relationship Id="rId59" Type="http://schemas.microsoft.com/office/2019/05/relationships/documenttasks" Target="documenttasks/documenttasks1.xm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hyperlink" Target="https://www.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s-relating-to-decisions-being-made-about-you-without-human-involvement/"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mailto:queenstreet.surgery@nhs.net" TargetMode="External"/><Relationship Id="rId52" Type="http://schemas.openxmlformats.org/officeDocument/2006/relationships/hyperlink" Target="https://digital.nhs.uk/coronavirus/coronavirus-covid-19-response-information-governance-hub/the-nhs-england-opensafely-covid-19-service-privacy-notice" TargetMode="External"/><Relationship Id="rId6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02D2DE1E-4557-4A2A-A994-610DD812C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CLARK, Helen (DR JJ MCPEAKES PRACTICE)</cp:lastModifiedBy>
  <cp:revision>3</cp:revision>
  <dcterms:created xsi:type="dcterms:W3CDTF">2024-05-22T10:11:00Z</dcterms:created>
  <dcterms:modified xsi:type="dcterms:W3CDTF">2024-05-22T10:27:00Z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